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Arial" w:eastAsia="Calibri" w:hAnsi="Arial" w:cs="Arial"/>
          <w:b w:val="0"/>
          <w:bCs w:val="0"/>
          <w:color w:val="auto"/>
          <w:sz w:val="20"/>
          <w:szCs w:val="20"/>
          <w:lang w:val="pl-PL"/>
        </w:rPr>
        <w:id w:val="749310749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1C210D" w:rsidRPr="00447C9F" w:rsidRDefault="001C210D">
          <w:pPr>
            <w:pStyle w:val="Nagwekspisutreci"/>
            <w:rPr>
              <w:rFonts w:ascii="Arial" w:hAnsi="Arial" w:cs="Arial"/>
              <w:sz w:val="20"/>
              <w:szCs w:val="20"/>
            </w:rPr>
          </w:pPr>
          <w:r w:rsidRPr="00447C9F">
            <w:rPr>
              <w:rFonts w:ascii="Arial" w:hAnsi="Arial" w:cs="Arial"/>
              <w:sz w:val="20"/>
              <w:szCs w:val="20"/>
              <w:lang w:val="pl-PL"/>
            </w:rPr>
            <w:t>Spis treści</w:t>
          </w:r>
        </w:p>
        <w:p w:rsidR="001C210D" w:rsidRPr="00447C9F" w:rsidRDefault="001C210D">
          <w:pPr>
            <w:pStyle w:val="Spistreci1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r w:rsidRPr="00447C9F">
            <w:rPr>
              <w:rFonts w:ascii="Arial" w:hAnsi="Arial" w:cs="Arial"/>
              <w:sz w:val="20"/>
              <w:szCs w:val="20"/>
            </w:rPr>
            <w:fldChar w:fldCharType="begin"/>
          </w:r>
          <w:r w:rsidRPr="00447C9F">
            <w:rPr>
              <w:rFonts w:ascii="Arial" w:hAnsi="Arial" w:cs="Arial"/>
              <w:sz w:val="20"/>
              <w:szCs w:val="20"/>
            </w:rPr>
            <w:instrText xml:space="preserve"> TOC \o "1-3" \h \z \u </w:instrText>
          </w:r>
          <w:r w:rsidRPr="00447C9F">
            <w:rPr>
              <w:rFonts w:ascii="Arial" w:hAnsi="Arial" w:cs="Arial"/>
              <w:sz w:val="20"/>
              <w:szCs w:val="20"/>
            </w:rPr>
            <w:fldChar w:fldCharType="separate"/>
          </w:r>
          <w:hyperlink w:anchor="_Toc217848839" w:history="1">
            <w:r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1. Podstawa opracowania i zakres opracowania</w:t>
            </w:r>
            <w:r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4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0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1.1. Podstawa prawna i formalna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4</w:t>
            </w:r>
          </w:hyperlink>
          <w:bookmarkStart w:id="0" w:name="_GoBack"/>
          <w:bookmarkEnd w:id="0"/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1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1.2. Zakres opracowania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4</w:t>
            </w:r>
          </w:hyperlink>
        </w:p>
        <w:p w:rsidR="001C210D" w:rsidRPr="00447C9F" w:rsidRDefault="00A725E2">
          <w:pPr>
            <w:pStyle w:val="Spistreci1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2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2. Stan istniejący, założenia projektowe i wymagania funkcjonalne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4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3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2.1. Stan istniejący (do potwierdzenia na etapie realizacji)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4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4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2.2. Wymagania funkcjonalne wideodomofonu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4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5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2.3. Założenia tras i odległości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6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2.4. Założenia dotyczące sieci IT i cyberbezpieczeństwa (organizacyjne)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1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7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3. Rozwiązania techniczne – system wideodomofonowy i transmisja danych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8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3.1. Architektura systemu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49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3.2. Okablowanie światłowodowe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0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3.3. Odcinki miedziane (skrętka)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1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3.4. Elementy aktywne, PoE i moduły optyczne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2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3.5. Zasilanie punktów bramowych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3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3.6. Integracja z napędami bram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1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4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4. Instalacje elektryczne – gniazda 230 V i zasilanie pomocnicze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5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4.1. Zasilanie gniazd dla pętli indukcyjnej i tablicy tyflograficznej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6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4.2. Ochrona przeciwporażeniowa, połączenia wyrównawcze i uziemienie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7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4.3. Zabezpieczenia przepięciowe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6</w:t>
            </w:r>
          </w:hyperlink>
        </w:p>
        <w:p w:rsidR="001C210D" w:rsidRPr="00447C9F" w:rsidRDefault="00A725E2">
          <w:pPr>
            <w:pStyle w:val="Spistreci1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8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5. Wytyczne wykonawcze – prowadzenie kabli i montaż (wymagania minimalne)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6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59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5.1. Roboty ziemne i układanie rur HDPE / kanalizacji kablowej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6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0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5.2. Przejścia pod drogami/chodnikami oraz przez przeszkody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>6</w:t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1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5.3. Wprowadzenia do budynków i przejścia przez przegrody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_Toc217848861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7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2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5.4. Prowadzenie tras w istniejącym budynku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_Toc217848862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7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3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5.5. Montaż urządzeń i szafek bramowych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_Toc217848863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4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5.6. Oznakowanie, organizacja okablowania i dokumentacja powykonawcza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_Toc217848864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1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5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6. Pomiary, próby i odbiór robót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_Toc217848865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6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6.1. Pomiary elektryczne (minimum)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_Toc217848866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7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6.2. Pomiary i testy teleinformatyczne / światłowodowe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_Toc217848867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8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6.3. Odbiór funkcjonalny wideodomofonu (kryteria)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_Toc217848868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1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69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7. Postanowienia dla przetargu publicznego i zasady odpowiedzialności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_Toc217848869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70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7.1. Równoważność rozwiązań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_Toc217848870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71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7.2. Obowiązki Wykonawcy przed rozpoczęciem robót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_Toc217848871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2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72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7.3. Zastrzeżenia i ograniczenia odpowiedzialności Projektanta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_Toc217848872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1C210D" w:rsidRPr="00447C9F" w:rsidRDefault="00A725E2">
          <w:pPr>
            <w:pStyle w:val="Spistreci1"/>
            <w:tabs>
              <w:tab w:val="right" w:leader="dot" w:pos="9679"/>
            </w:tabs>
            <w:rPr>
              <w:rFonts w:ascii="Arial" w:hAnsi="Arial" w:cs="Arial"/>
              <w:noProof/>
              <w:sz w:val="20"/>
              <w:szCs w:val="20"/>
            </w:rPr>
          </w:pPr>
          <w:hyperlink w:anchor="_Toc217848873" w:history="1">
            <w:r w:rsidR="001C210D" w:rsidRPr="00447C9F">
              <w:rPr>
                <w:rStyle w:val="Hipercze"/>
                <w:rFonts w:ascii="Arial" w:hAnsi="Arial" w:cs="Arial"/>
                <w:noProof/>
                <w:sz w:val="20"/>
                <w:szCs w:val="20"/>
              </w:rPr>
              <w:t>8. Normy, przepisy i standardy – wykaz podstawowy (stosować aktualne wydania)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_Toc217848873 \h </w:instrTex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792DB2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="001C210D" w:rsidRPr="00447C9F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447C9F" w:rsidRDefault="001C210D" w:rsidP="00447C9F">
          <w:pPr>
            <w:spacing w:after="0"/>
            <w:rPr>
              <w:rFonts w:ascii="Arial" w:hAnsi="Arial" w:cs="Arial"/>
              <w:sz w:val="20"/>
              <w:szCs w:val="20"/>
            </w:rPr>
          </w:pPr>
          <w:r w:rsidRPr="00447C9F">
            <w:rPr>
              <w:rFonts w:ascii="Arial" w:hAnsi="Arial" w:cs="Arial"/>
              <w:b/>
              <w:bCs/>
              <w:sz w:val="20"/>
              <w:szCs w:val="20"/>
            </w:rPr>
            <w:lastRenderedPageBreak/>
            <w:fldChar w:fldCharType="end"/>
          </w:r>
        </w:p>
      </w:sdtContent>
    </w:sdt>
    <w:bookmarkStart w:id="1" w:name="_Toc217848839" w:displacedByCustomXml="prev"/>
    <w:p w:rsidR="00447C9F" w:rsidRPr="00447C9F" w:rsidRDefault="00A6686B" w:rsidP="00447C9F">
      <w:pPr>
        <w:spacing w:after="0" w:line="240" w:lineRule="auto"/>
        <w:rPr>
          <w:rFonts w:ascii="Arial" w:hAnsi="Arial" w:cs="Arial"/>
          <w:sz w:val="20"/>
          <w:szCs w:val="20"/>
          <w:lang w:val="pl-PL"/>
        </w:rPr>
      </w:pPr>
      <w:r w:rsidRPr="00447C9F">
        <w:rPr>
          <w:rFonts w:ascii="Arial" w:hAnsi="Arial" w:cs="Arial"/>
          <w:b/>
          <w:sz w:val="21"/>
          <w:szCs w:val="21"/>
          <w:lang w:val="pl-PL"/>
        </w:rPr>
        <w:t>1. Podstawa opracowania i zakres opracowania</w:t>
      </w:r>
      <w:bookmarkEnd w:id="1"/>
    </w:p>
    <w:p w:rsidR="00CF3203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Opis techniczny stanowi część projektu technicznego branży elektrycznej i teletechnicznej. Dokument przygotowano na potrzeby postępowania o udzielenie zamówienia publicznego. Wskazane parametry należy traktować jako minimalne; dopuszcza się rozwiązania równoważne, pod warunkiem zachowania funkcjonalności, kompatybilności i jakości.</w:t>
      </w:r>
    </w:p>
    <w:p w:rsidR="00447C9F" w:rsidRPr="00447C9F" w:rsidRDefault="00447C9F" w:rsidP="00447C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2" w:name="_Toc217848840"/>
      <w:r w:rsidRPr="00447C9F">
        <w:rPr>
          <w:rFonts w:ascii="Arial" w:hAnsi="Arial" w:cs="Arial"/>
          <w:color w:val="auto"/>
          <w:sz w:val="21"/>
          <w:szCs w:val="21"/>
        </w:rPr>
        <w:t>1.1. Podstawa prawna i formalna</w:t>
      </w:r>
      <w:bookmarkEnd w:id="2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Ustawa z dnia 7 lipca 1994 r. – Prawo budowlane (tekst jednolity: Dz.U. 2025 poz. 418).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Rozporządzenie w sprawie warunków technicznych, jakim powinny odpowiadać budynki i ich usytuowanie (w tym zmiany: Dz.U. 2024 poz. 726 oraz wcześniejsze nowelizacje).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Przepisy BHP i ppoż. oraz wymagania Zamawiającego/użytkownika obiektu (teren czynnego obiektu).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Dokumentacja projektowa przekazana przez Zamawiającego oraz ustalenia branżowe/koordynacyjne.</w:t>
      </w:r>
    </w:p>
    <w:p w:rsidR="00CF3203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DTR (dokumentacje techniczno-ruchowe) istniejących napędów bram oraz zastosowanych urządzeń.</w:t>
      </w:r>
    </w:p>
    <w:p w:rsidR="00447C9F" w:rsidRPr="00447C9F" w:rsidRDefault="00447C9F" w:rsidP="00447C9F">
      <w:pPr>
        <w:pStyle w:val="Listapunktowana"/>
        <w:numPr>
          <w:ilvl w:val="0"/>
          <w:numId w:val="0"/>
        </w:numPr>
        <w:spacing w:after="0" w:line="240" w:lineRule="auto"/>
        <w:ind w:left="360"/>
        <w:rPr>
          <w:rFonts w:ascii="Arial" w:hAnsi="Arial" w:cs="Arial"/>
          <w:sz w:val="21"/>
          <w:szCs w:val="21"/>
          <w:lang w:val="pl-PL"/>
        </w:rPr>
      </w:pPr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3" w:name="_Toc217848841"/>
      <w:r w:rsidRPr="00447C9F">
        <w:rPr>
          <w:rFonts w:ascii="Arial" w:hAnsi="Arial" w:cs="Arial"/>
          <w:color w:val="auto"/>
          <w:sz w:val="21"/>
          <w:szCs w:val="21"/>
        </w:rPr>
        <w:t>1.2. Zakres opracowania</w:t>
      </w:r>
      <w:bookmarkEnd w:id="3"/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47C9F">
        <w:rPr>
          <w:rFonts w:ascii="Arial" w:hAnsi="Arial" w:cs="Arial"/>
          <w:sz w:val="21"/>
          <w:szCs w:val="21"/>
        </w:rPr>
        <w:t>Zakres obejmuje: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System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wideodomofonowy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IP: 3 panele zewnętrzne (2 przy bramie od ul. Glinki – WJAZD i WYJAZD; 1 przy bramie od ul.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Kozala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– WJAZD) oraz 3 monitory/stacje wewnętrzne (pom. 0.10, 0.11, 1.01 w bud. </w:t>
      </w:r>
      <w:r w:rsidRPr="00447C9F">
        <w:rPr>
          <w:rFonts w:ascii="Arial" w:hAnsi="Arial" w:cs="Arial"/>
          <w:sz w:val="21"/>
          <w:szCs w:val="21"/>
        </w:rPr>
        <w:t>B).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Infrastrukturę transmisyjną: trasy światłowodowe w rurach HDPE w gruncie oraz odcinki skrętki kat. 5e/6 w budynku i przy bramach.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Zasilanie 230 V AC dla punktów bramowych (zasilacze DC dla urządzeń aktywnych, ewentualnie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PoE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) oraz powiązania z istniejącymi napędami bram.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Wykonanie dwóch gniazd 230 V AC: zasilanie pętli indukcyjnej oraz tablicy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tyflograficznej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– zasilanie z RG pom. 0.04 (parter).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Dostosowanie infrastruktury w GPD/RG (w tym ewentualna rozbudowa przełączników) oraz uruchomienie i testy.</w:t>
      </w:r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Z uwagi na charakter robót w obiekcie istniejącym dopuszcza się stosowanie rozwiązań równoważnych i zamiennych po uzgodnieniu z Zam</w:t>
      </w:r>
      <w:r w:rsidR="00C95209" w:rsidRPr="00447C9F">
        <w:rPr>
          <w:rFonts w:ascii="Arial" w:hAnsi="Arial" w:cs="Arial"/>
          <w:sz w:val="21"/>
          <w:szCs w:val="21"/>
          <w:lang w:val="pl-PL"/>
        </w:rPr>
        <w:t xml:space="preserve">awiającym/Inspektorem </w:t>
      </w:r>
      <w:r w:rsidRPr="00447C9F">
        <w:rPr>
          <w:rFonts w:ascii="Arial" w:hAnsi="Arial" w:cs="Arial"/>
          <w:sz w:val="21"/>
          <w:szCs w:val="21"/>
          <w:lang w:val="pl-PL"/>
        </w:rPr>
        <w:t>oraz Projektantem.</w:t>
      </w:r>
    </w:p>
    <w:p w:rsidR="00447C9F" w:rsidRDefault="00447C9F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4" w:name="_Toc217848842"/>
    </w:p>
    <w:p w:rsidR="00CF3203" w:rsidRPr="00447C9F" w:rsidRDefault="00A6686B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2. Stan istniejący, założenia projektowe i wymagania funkcjonalne</w:t>
      </w:r>
      <w:bookmarkEnd w:id="4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5" w:name="_Toc217848843"/>
      <w:r w:rsidRPr="00447C9F">
        <w:rPr>
          <w:rFonts w:ascii="Arial" w:hAnsi="Arial" w:cs="Arial"/>
          <w:color w:val="auto"/>
          <w:sz w:val="21"/>
          <w:szCs w:val="21"/>
          <w:lang w:val="pl-PL"/>
        </w:rPr>
        <w:t>2.1. Stan istniejący (do potwierdzenia na etapie realizacji)</w:t>
      </w:r>
      <w:bookmarkEnd w:id="5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Istniejąca infrastruktura LAN oraz punkt dystrybucyjny (GPD) – do wykorzystania i ewentualnej rozbudowy.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Istniejące domofony przy bramach (2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kpl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.) – przewidziane do demontażu.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Istniejące napędy dwóch bram – przewidziana integracja sterowania z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wideodomofonu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Istniejące trasy instalacyjne w budynku – preferowane do wykorzystania; w razie braku możliwości – trasy natynkowe.</w:t>
      </w:r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Uwaga: Wykonawca jest zobowiązany do weryfikacji stanu istniejącego (inwentaryzacja tras, wolnych portów w GPD, możliwości zasilania przy bramach, warunków montażowych, kolizji z instalacjami podziemnymi).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6" w:name="_Toc217848844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r w:rsidRPr="00447C9F">
        <w:rPr>
          <w:rFonts w:ascii="Arial" w:hAnsi="Arial" w:cs="Arial"/>
          <w:color w:val="auto"/>
          <w:sz w:val="21"/>
          <w:szCs w:val="21"/>
        </w:rPr>
        <w:t>2.2. Wymagania funkcjonalne wideodomofonu</w:t>
      </w:r>
      <w:bookmarkEnd w:id="6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Podgląd wideo: z każdej stacji wewnętrznej możliwość podglądu obrazu z każdego panelu zewnętrznego (3 panele).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Wywołanie zbiorcze: wywołanie z dowolnego panelu zewnętrznego ma być sygnalizowane i wyświetlane na wszystkich 3 monitorach.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Brama ul. Glinki: dwa punkty obserwacji – panel WJAZD oraz panel WYJAZD (oddzielne kadry).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Brama ul.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Kozala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: panel WJAZD – obserwacja wjeżdżających.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Sterowanie bramami: z poziomu każdej stacji wewnętrznej możliwość sterowania napędami (otwarcie/zamknięcie) z zachowaniem funkcji bezpieczeństwa automatyki.</w:t>
      </w:r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7" w:name="_Toc217848845"/>
      <w:r w:rsidRPr="00447C9F">
        <w:rPr>
          <w:rFonts w:ascii="Arial" w:hAnsi="Arial" w:cs="Arial"/>
          <w:color w:val="auto"/>
          <w:sz w:val="21"/>
          <w:szCs w:val="21"/>
        </w:rPr>
        <w:lastRenderedPageBreak/>
        <w:t>2.3. Założenia tras i odległości</w:t>
      </w:r>
      <w:bookmarkEnd w:id="7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Trasa do bramy ul. Glinki: ok. 150 m (2 panele).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Trasa do bramy ul.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Kozala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: ok. 80 m (1 panel).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Na całej długości tras zewnętrznych: kabel światłowodowy w rurze HDPE w gruncie.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Zaleca się przyjęcie rezerwy długości min. 10% oraz zapasów technologicznych w punktach zakończeń.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8" w:name="_Toc217848846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 xml:space="preserve">2.4. Założenia dotyczące sieci IT i </w:t>
      </w:r>
      <w:proofErr w:type="spellStart"/>
      <w:r w:rsidRPr="00447C9F">
        <w:rPr>
          <w:rFonts w:ascii="Arial" w:hAnsi="Arial" w:cs="Arial"/>
          <w:color w:val="auto"/>
          <w:sz w:val="21"/>
          <w:szCs w:val="21"/>
          <w:lang w:val="pl-PL"/>
        </w:rPr>
        <w:t>cyberbezpieczeństwa</w:t>
      </w:r>
      <w:proofErr w:type="spellEnd"/>
      <w:r w:rsidRPr="00447C9F">
        <w:rPr>
          <w:rFonts w:ascii="Arial" w:hAnsi="Arial" w:cs="Arial"/>
          <w:color w:val="auto"/>
          <w:sz w:val="21"/>
          <w:szCs w:val="21"/>
          <w:lang w:val="pl-PL"/>
        </w:rPr>
        <w:t xml:space="preserve"> (organizacyjne)</w:t>
      </w:r>
      <w:bookmarkEnd w:id="8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Włączenie systemu do sieci LAN obiektu należy uzgodnić z administratorem sieci Zamawiającego (VLAN, adresacja IP, polityka dostępu).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Nie dopuszcza się podłączania urządzeń do sieci Zamawiającego bez uzgodnionej konfiguracji i dokumentacji.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Konfiguracja logiczna (adresacja, konta, hasła administracyjne, rejestry zdarzeń) leży po stronie Wykonawcy i musi zostać przekazana Zamawiającemu w formie protokołu.</w:t>
      </w:r>
    </w:p>
    <w:p w:rsidR="00447C9F" w:rsidRDefault="00447C9F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9" w:name="_Toc217848847"/>
    </w:p>
    <w:p w:rsidR="00CF3203" w:rsidRPr="00447C9F" w:rsidRDefault="00A6686B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 xml:space="preserve">3. Rozwiązania techniczne – system </w:t>
      </w:r>
      <w:proofErr w:type="spellStart"/>
      <w:r w:rsidRPr="00447C9F">
        <w:rPr>
          <w:rFonts w:ascii="Arial" w:hAnsi="Arial" w:cs="Arial"/>
          <w:color w:val="auto"/>
          <w:sz w:val="21"/>
          <w:szCs w:val="21"/>
          <w:lang w:val="pl-PL"/>
        </w:rPr>
        <w:t>wideodomofonowy</w:t>
      </w:r>
      <w:proofErr w:type="spellEnd"/>
      <w:r w:rsidRPr="00447C9F">
        <w:rPr>
          <w:rFonts w:ascii="Arial" w:hAnsi="Arial" w:cs="Arial"/>
          <w:color w:val="auto"/>
          <w:sz w:val="21"/>
          <w:szCs w:val="21"/>
          <w:lang w:val="pl-PL"/>
        </w:rPr>
        <w:t xml:space="preserve"> i transmisja danych</w:t>
      </w:r>
      <w:bookmarkEnd w:id="9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10" w:name="_Toc217848848"/>
      <w:r w:rsidRPr="00447C9F">
        <w:rPr>
          <w:rFonts w:ascii="Arial" w:hAnsi="Arial" w:cs="Arial"/>
          <w:color w:val="auto"/>
          <w:sz w:val="21"/>
          <w:szCs w:val="21"/>
          <w:lang w:val="pl-PL"/>
        </w:rPr>
        <w:t>3.1. Architektura systemu</w:t>
      </w:r>
      <w:bookmarkEnd w:id="10"/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System przewiduje się w technologii IP (LAN). Z uwagi na odległości powyżej 100 m, połączenia do punktów bramowych realizuje się światłowodem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jednomodowym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. Odcinki lokalne przy urządzeniach realizuje się skrętką oraz połączeniami w obrębie szafek bramowych.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11" w:name="_Toc217848849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r w:rsidRPr="00447C9F">
        <w:rPr>
          <w:rFonts w:ascii="Arial" w:hAnsi="Arial" w:cs="Arial"/>
          <w:color w:val="auto"/>
          <w:sz w:val="21"/>
          <w:szCs w:val="21"/>
        </w:rPr>
        <w:t>3.2. Okablowanie światłowodowe</w:t>
      </w:r>
      <w:bookmarkEnd w:id="11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Kabel światłowodowy zewnętrzny ziemny: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jednomodowy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OS2 9/125, standard włókna min. G.652.D (dopuszcza się G.657A1/A2 jako równoważne), minimum 4J.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Kabel przeznaczony do układania w kanalizacji kablowej (rura HDPE) w gruncie, z powłoką odporną na warunki środowiskowe.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Złącza i zakończenia: LC/UPC duplex (zalecane), spawy w kasetach spawów; tłumienność spawu zgodnie z dobrą praktyką (zalecenie: &lt;= 0,1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dB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Zapas kabla w punktach bramowych i w GPD: min. 10 m (lub więcej, jeśli wymagane warunkami montażu).</w:t>
      </w:r>
    </w:p>
    <w:p w:rsidR="00CF3203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Wykonać trwałe oznakowanie torów: numer trasy, numer włókna, relacje portów (SFP–przełącznica–włókno–przełącznica–SFP).</w:t>
      </w:r>
    </w:p>
    <w:p w:rsidR="00447C9F" w:rsidRPr="00447C9F" w:rsidRDefault="00447C9F" w:rsidP="00447C9F">
      <w:pPr>
        <w:pStyle w:val="Listapunktowana"/>
        <w:numPr>
          <w:ilvl w:val="0"/>
          <w:numId w:val="0"/>
        </w:numPr>
        <w:spacing w:after="0" w:line="240" w:lineRule="auto"/>
        <w:ind w:left="360" w:hanging="360"/>
        <w:rPr>
          <w:rFonts w:ascii="Arial" w:hAnsi="Arial" w:cs="Arial"/>
          <w:sz w:val="21"/>
          <w:szCs w:val="21"/>
          <w:lang w:val="pl-PL"/>
        </w:rPr>
      </w:pPr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12" w:name="_Toc217848850"/>
      <w:r w:rsidRPr="00447C9F">
        <w:rPr>
          <w:rFonts w:ascii="Arial" w:hAnsi="Arial" w:cs="Arial"/>
          <w:color w:val="auto"/>
          <w:sz w:val="21"/>
          <w:szCs w:val="21"/>
        </w:rPr>
        <w:t>3.3. Odcinki miedziane (skrętka)</w:t>
      </w:r>
      <w:bookmarkEnd w:id="12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Przy panelach bramowych: skrętka zewnętrzna U/UTP kat. 5e (żelowana) lub równoważna, żyły miedziane.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 budynku: U/UTP kat. 5e/6 zgodnie z istniejącym standardem obiektu; zachować minimalne promienie gięcia i dopuszczalne siły naciągu.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Nie dopuszcza się stosowania złączek pośrednich na trasach miedzianych; połączenia realizować jako odcinki ciągłe.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13" w:name="_Toc217848851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 xml:space="preserve">3.4. Elementy aktywne, </w:t>
      </w:r>
      <w:proofErr w:type="spellStart"/>
      <w:r w:rsidRPr="00447C9F">
        <w:rPr>
          <w:rFonts w:ascii="Arial" w:hAnsi="Arial" w:cs="Arial"/>
          <w:color w:val="auto"/>
          <w:sz w:val="21"/>
          <w:szCs w:val="21"/>
          <w:lang w:val="pl-PL"/>
        </w:rPr>
        <w:t>PoE</w:t>
      </w:r>
      <w:proofErr w:type="spellEnd"/>
      <w:r w:rsidRPr="00447C9F">
        <w:rPr>
          <w:rFonts w:ascii="Arial" w:hAnsi="Arial" w:cs="Arial"/>
          <w:color w:val="auto"/>
          <w:sz w:val="21"/>
          <w:szCs w:val="21"/>
          <w:lang w:val="pl-PL"/>
        </w:rPr>
        <w:t xml:space="preserve"> i moduły optyczne</w:t>
      </w:r>
      <w:bookmarkEnd w:id="13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 punktach bramowych przewidzieć przełącznik (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switch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) z portem SFP oraz zasilaniem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PoE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(co najmniej dla paneli bramowych) – lub rozwiązanie równoważne.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 GPD przewidzieć porty SFP (lub zastosować konwertery mediów RJ45–SFP / przełącznik z SFP).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Moduły SFP: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jednomodowe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, 1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Gb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/s, złączność LC duplex, zasięg odpowiedni do długości tras (minimum kilka km – wymóg funkcjonalny).</w:t>
      </w:r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Dobór liczby portów, budżetu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PoE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oraz parametrów modułów optycznych należy potwierdzić na etapie doboru urządzeń i uzgodnić z Zamawiającym.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14" w:name="_Toc217848852"/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r w:rsidRPr="00447C9F">
        <w:rPr>
          <w:rFonts w:ascii="Arial" w:hAnsi="Arial" w:cs="Arial"/>
          <w:color w:val="auto"/>
          <w:sz w:val="21"/>
          <w:szCs w:val="21"/>
        </w:rPr>
        <w:t>3.5. Zasilanie punktów bramowych</w:t>
      </w:r>
      <w:bookmarkEnd w:id="14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Światłowód nie przenosi zasilania – zasilanie paneli i elementów aktywnych musi być zapewnione lokalnie w punktach bramowych.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Dopuszcza się pobór 230 V AC z istniejących szafek napędów bram (jeżeli warunki montażowe na to pozwalają) – po uzgodnieniu z Zamawiającym i zachowaniu wymagań ochrony przeciwporażeniowej.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 przypadku braku możliwości poboru z napędu – wykonać lokalną skrzynkę zasilającą w pobliżu napędu z obwodem 230 V AC, zabezpieczeniem i zasilaczem DC.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Zasilacze DC dobiera Wykonawca do zastosowanych urządzeń; dopuszcza się 24 V DC / 48–54 V DC (dla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PoE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) zależnie od rozwiązania.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15" w:name="_Toc217848853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3.6. Integracja z napędami bram</w:t>
      </w:r>
      <w:bookmarkEnd w:id="15"/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Integrację sterowania napędami wykonać poprzez wyjścia przekaźnikowe/styki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bezpotencjałowe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systemu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wideodomofonowego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. Nie dopuszcza się ingerencji w układy bezpieczeństwa automatyki bram. Każde włączenie wykonać zgodnie z DTR napędu i w sposób odwracalny (możliwość powrotu do stanu wyjściowego).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Stosować oddzielne przewody sterownicze (np. 2x1 mm2) w osłonie; prowadzić z dala od zasilania napędu.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Jeżeli wymagane: zastosować moduł separujący/przekaźnik pośredniczący dla zachowania kompatybilności wejść sterujących.</w:t>
      </w:r>
    </w:p>
    <w:p w:rsidR="00CF3203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Wykonać opis zacisków w szafce napędu i w szafce bramowej; przekazać schemat połączeń powykonawczy.</w:t>
      </w:r>
    </w:p>
    <w:p w:rsidR="00447C9F" w:rsidRPr="00447C9F" w:rsidRDefault="00447C9F" w:rsidP="00447C9F">
      <w:pPr>
        <w:pStyle w:val="Listapunktowana"/>
        <w:numPr>
          <w:ilvl w:val="0"/>
          <w:numId w:val="0"/>
        </w:numPr>
        <w:spacing w:after="0" w:line="240" w:lineRule="auto"/>
        <w:ind w:left="360" w:hanging="360"/>
        <w:rPr>
          <w:rFonts w:ascii="Arial" w:hAnsi="Arial" w:cs="Arial"/>
          <w:sz w:val="21"/>
          <w:szCs w:val="21"/>
          <w:lang w:val="pl-PL"/>
        </w:rPr>
      </w:pPr>
    </w:p>
    <w:p w:rsidR="00CF3203" w:rsidRPr="00447C9F" w:rsidRDefault="00A6686B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16" w:name="_Toc217848854"/>
      <w:r w:rsidRPr="00447C9F">
        <w:rPr>
          <w:rFonts w:ascii="Arial" w:hAnsi="Arial" w:cs="Arial"/>
          <w:color w:val="auto"/>
          <w:sz w:val="21"/>
          <w:szCs w:val="21"/>
          <w:lang w:val="pl-PL"/>
        </w:rPr>
        <w:t>4. Instalacje elektryczne – gniazda 230 V i zasilanie pomocnicze</w:t>
      </w:r>
      <w:bookmarkEnd w:id="16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17" w:name="_Toc217848855"/>
      <w:r w:rsidRPr="00447C9F">
        <w:rPr>
          <w:rFonts w:ascii="Arial" w:hAnsi="Arial" w:cs="Arial"/>
          <w:color w:val="auto"/>
          <w:sz w:val="21"/>
          <w:szCs w:val="21"/>
          <w:lang w:val="pl-PL"/>
        </w:rPr>
        <w:t xml:space="preserve">4.1. Zasilanie gniazd dla pętli indukcyjnej i tablicy </w:t>
      </w:r>
      <w:proofErr w:type="spellStart"/>
      <w:r w:rsidRPr="00447C9F">
        <w:rPr>
          <w:rFonts w:ascii="Arial" w:hAnsi="Arial" w:cs="Arial"/>
          <w:color w:val="auto"/>
          <w:sz w:val="21"/>
          <w:szCs w:val="21"/>
          <w:lang w:val="pl-PL"/>
        </w:rPr>
        <w:t>tyflograficznej</w:t>
      </w:r>
      <w:bookmarkEnd w:id="17"/>
      <w:proofErr w:type="spellEnd"/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Projekt przewiduje wykonanie dwóch gniazd 230 V AC (2P+Z) dla urządzeń wspomagających dostępność: pętli indukcyjnej oraz tablicy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tyflograficznej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. Zasilanie należy wyprowadzić z rozdzielnicy RG w pom. 0.04 (parter), z wykorzystaniem istniejących tras kablowych. W przypadku konieczności wykonania nowych tras należy stosować listwy/kanały natynkowe.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Nowy obwód gniazd zabezpieczyć RCD 30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mA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typ A oraz wyłącznikiem nadprądowym B16 (dobór ostateczny po weryfikacji impedancji pętli zwarcia i warunków ułożenia).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Przewód zasilający: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YDYp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3x2,5 mm2 lub równoważny; prowadzić w trasach zgodnie z zasadami ochrony przeciwporażeniowej.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Gniazda oznakować funkcją; przekazać Zamawiającemu informację o obwodzie (nr zabezpieczenia, lokalizacja).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18" w:name="_Toc217848856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4.2. Ochrona przeciwporażeniowa, połączenia wyrównawcze i uziemienie</w:t>
      </w:r>
      <w:bookmarkEnd w:id="18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Stosować środki ochrony zgodnie z PN-HD 60364 (samoczynne wyłączenie zasilania, RCD, przewody ochronne PE).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Wszystkie metalowe obudowy skrzynek i urządzeń w punktach bramowych połączyć z PE.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Wykonać/włączyć połączenia wyrównawcze w zakresie wymaganym dla nowych obwodów i urządzeń.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19" w:name="_Toc217848857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4.3. Zabezpieczenia przepięciowe</w:t>
      </w:r>
      <w:bookmarkEnd w:id="19"/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Dobór i zastosowanie ochrony przeciwprzepięciowej należy skoordynować z istniejącą ochroną w RG oraz warunkami lokalnymi.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Zaleca się ochronę przepięciową torów 230 V w rozdzielnicy zasilającej (typ i klasa zależnie od stanu istniejącego i analizy ryzyka).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Dla odcinków Ethernet (skrętka) przy bramach rozważyć ochronniki przepięć torów RJ45 w zależności od układu uziemień i ekspozycji; światłowód ogranicza przenoszenie przepięć na torze transmisyjnym.</w:t>
      </w:r>
    </w:p>
    <w:p w:rsidR="00CF3203" w:rsidRPr="00447C9F" w:rsidRDefault="00A6686B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20" w:name="_Toc217848858"/>
      <w:r w:rsidRPr="00447C9F">
        <w:rPr>
          <w:rFonts w:ascii="Arial" w:hAnsi="Arial" w:cs="Arial"/>
          <w:color w:val="auto"/>
          <w:sz w:val="21"/>
          <w:szCs w:val="21"/>
          <w:lang w:val="pl-PL"/>
        </w:rPr>
        <w:lastRenderedPageBreak/>
        <w:t>5. Wytyczne wykonawcze – prowadzenie kabli i montaż (wymagania minimalne)</w:t>
      </w:r>
      <w:bookmarkEnd w:id="20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21" w:name="_Toc217848859"/>
      <w:r w:rsidRPr="00447C9F">
        <w:rPr>
          <w:rFonts w:ascii="Arial" w:hAnsi="Arial" w:cs="Arial"/>
          <w:color w:val="auto"/>
          <w:sz w:val="21"/>
          <w:szCs w:val="21"/>
          <w:lang w:val="pl-PL"/>
        </w:rPr>
        <w:t>5.1. Roboty ziemne i układanie rur HDPE / kanalizacji kablowej</w:t>
      </w:r>
      <w:bookmarkEnd w:id="21"/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Wytyczne minimalne (do stosowania, o ile uzgodnienia lokalne nie wymagają zaostrzenia):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Przed rozpoczęciem robót ziemnych: uzgodnić przebieg tras z użytkownikiem terenu, wykonać lokalizację istniejących instalacji (mapy, wykrywacze, przekopy kontrolne), oznakować i zabezpieczyć teren robót.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 strefach kolizji roboty prowadzić ręcznie; zapewnić stały nadzór nad pracami w pobliżu instalacji czynnych.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Zalecana głębokość ułożenia kanalizacji kablowej w gruncie: min. 0,7 m (lub zgodnie z uzgodnieniami lokalnymi). W miejscach narażonych na uszkodzenia oraz przy przejściach pod utwardzeniami – zwiększyć ochronę (rury osłonowe,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przeciski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Rurę HDPE układać na podsypce piaskowej min. 10 cm; po ułożeniu wykonać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obsypkę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piaskową min. 10 cm nad rurą; następnie grunt rodzimy warstwami z zagęszczeniem.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Nad trasą ułożyć taśmę ostrzegawczą koloru niebieskiego na wysokości ok. 25–30 cm nad rurą (lub zgodnie z lokalnymi standardami).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Zachować minimalne promienie gięcia rury i kabla; nie przekraczać dopuszczalnych sił wciągania; w razie potrzeby stosować poślizg i prowadniki.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Wykonać odtworzenia nawierzchni (chodniki, trawniki, utwardzenia) do stanu nie gorszego niż przed robotami; w razie wymagań – zapewnić dokumentację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odtworzeń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22" w:name="_Toc217848860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5.2. Przejścia pod drogami/chodnikami oraz przez przeszkody</w:t>
      </w:r>
      <w:bookmarkEnd w:id="22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Przejścia pod utwardzeniami wykonywać metodą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przecisku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>/przewiertu lub w rurze osłonowej o podwyższonej wytrzymałości; średnicę dobrać z zapasem na wciąganie kabla i ewentualne rezerwy.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Na przejściach zastosować rury osłonowe wystające poza krawędź utwardzenia; wloty zabezpieczyć przed zamuleniem.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Wykonać zabezpieczenia mechaniczne w miejscach wyjść z gruntu (osłony,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peszle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ciężkie, listwy ochronne).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23" w:name="_Toc217848861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5.3. Wprowadzenia do budynków i przejścia przez przegrody</w:t>
      </w:r>
      <w:bookmarkEnd w:id="23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Wszelkie przepusty przez ściany/stropy wykonywać w tulejach ochronnych; po przejściu uszczelnić (dla przegród o wymaganej klasie odporności ogniowej stosować systemowe uszczelnienia ogniochronne).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Zachować szczelność i wymagany stopień ochrony IP obudów poprzez dławiki i przepusty kablowe; unikać ostrych krawędzi (stosować przepusty z wkładkami).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 przypadku przejścia przez strefy pożarowe – uzgodnić technologię uszczelnienia z wymaganiami ppoż. obiektu.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24" w:name="_Toc217848862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5.4. Prowadzenie tras w istniejącym budynku</w:t>
      </w:r>
      <w:bookmarkEnd w:id="24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 pierwszej kolejności wykorzystać istniejące koryta, kanały i przepusty. W razie braku możliwości wykonać trasy natynkowe w listwach/kanałach instalacyjnych.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Trasy prowadzić w sposób uporządkowany i estetyczny (piony/poziomy), z doborem mocowań do rodzaju podłoża.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Nie dopuszcza się prowadzenia przewodów luzem w przestrzeniach ogólnodostępnych. </w:t>
      </w:r>
      <w:proofErr w:type="spellStart"/>
      <w:r w:rsidRPr="00447C9F">
        <w:rPr>
          <w:rFonts w:ascii="Arial" w:hAnsi="Arial" w:cs="Arial"/>
          <w:sz w:val="21"/>
          <w:szCs w:val="21"/>
        </w:rPr>
        <w:t>Przewody</w:t>
      </w:r>
      <w:proofErr w:type="spellEnd"/>
      <w:r w:rsidRPr="00447C9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47C9F">
        <w:rPr>
          <w:rFonts w:ascii="Arial" w:hAnsi="Arial" w:cs="Arial"/>
          <w:sz w:val="21"/>
          <w:szCs w:val="21"/>
        </w:rPr>
        <w:t>prowadzić</w:t>
      </w:r>
      <w:proofErr w:type="spellEnd"/>
      <w:r w:rsidRPr="00447C9F">
        <w:rPr>
          <w:rFonts w:ascii="Arial" w:hAnsi="Arial" w:cs="Arial"/>
          <w:sz w:val="21"/>
          <w:szCs w:val="21"/>
        </w:rPr>
        <w:t xml:space="preserve"> w </w:t>
      </w:r>
      <w:proofErr w:type="spellStart"/>
      <w:r w:rsidRPr="00447C9F">
        <w:rPr>
          <w:rFonts w:ascii="Arial" w:hAnsi="Arial" w:cs="Arial"/>
          <w:sz w:val="21"/>
          <w:szCs w:val="21"/>
        </w:rPr>
        <w:t>osłonach</w:t>
      </w:r>
      <w:proofErr w:type="spellEnd"/>
      <w:r w:rsidRPr="00447C9F">
        <w:rPr>
          <w:rFonts w:ascii="Arial" w:hAnsi="Arial" w:cs="Arial"/>
          <w:sz w:val="21"/>
          <w:szCs w:val="21"/>
        </w:rPr>
        <w:t xml:space="preserve"> i trasach kablowych.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Zachować separację tras teletechnicznych od tras zasilających – odległości lub przegrody zgodnie z normami okablowania (PN-EN 50174).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 drogach ewakuacyjnych oraz strefach o podwyższonych wymaganiach ppoż. dobór materiałów i tras uzgodnić z wymaganiami obiektu; nie pogarszać warunków ewakuacji.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25" w:name="_Toc217848863"/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5.5. Montaż urządzeń i szafek bramowych</w:t>
      </w:r>
      <w:bookmarkEnd w:id="25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Szafki/obudowy zewnętrzne: IP65 lub wyższe, odporne na warunki atmosferyczne; montaż na stabilnym podłożu, z zapewnieniem odpływu kondensatu (jeżeli przewidziane) i dostępu serwisowego.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Zapewnić uziemienie/połączenie PE obudów oraz uporządkowane listwy zaciskowe z opisem.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Wysokości montażu paneli i monitorów dobrać z uwzględnieniem dostępności (dla osób z niepełnosprawnościami) oraz wytycznych Zamawiającego.</w:t>
      </w:r>
    </w:p>
    <w:p w:rsidR="00447C9F" w:rsidRDefault="00447C9F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26" w:name="_Toc217848864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5.6. Oznakowanie, organizacja okablowania i dokumentacja powykonawcza</w:t>
      </w:r>
      <w:bookmarkEnd w:id="26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Wykonać trwałe oznakowanie kabli, włókien, portów i urządzeń (opis po obu stronach toru).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 xml:space="preserve">W GPD uporządkować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patchcordy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i wiązki; stosować </w:t>
      </w:r>
      <w:proofErr w:type="spellStart"/>
      <w:r w:rsidRPr="00447C9F">
        <w:rPr>
          <w:rFonts w:ascii="Arial" w:hAnsi="Arial" w:cs="Arial"/>
          <w:sz w:val="21"/>
          <w:szCs w:val="21"/>
          <w:lang w:val="pl-PL"/>
        </w:rPr>
        <w:t>organizery</w:t>
      </w:r>
      <w:proofErr w:type="spellEnd"/>
      <w:r w:rsidRPr="00447C9F">
        <w:rPr>
          <w:rFonts w:ascii="Arial" w:hAnsi="Arial" w:cs="Arial"/>
          <w:sz w:val="21"/>
          <w:szCs w:val="21"/>
          <w:lang w:val="pl-PL"/>
        </w:rPr>
        <w:t xml:space="preserve"> kabli; opisać porty przełączników.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Przekazać dokumentację powykonawczą: schematy połączeń, trasy, zestawienia kabli, oznaczeń i konfiguracji logicznej (w uzgodnionym zakresie).</w:t>
      </w:r>
    </w:p>
    <w:p w:rsidR="00447C9F" w:rsidRDefault="00447C9F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27" w:name="_Toc217848865"/>
    </w:p>
    <w:p w:rsidR="00CF3203" w:rsidRPr="00447C9F" w:rsidRDefault="00A6686B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6. Pomiary, próby i odbiór robót</w:t>
      </w:r>
      <w:bookmarkEnd w:id="27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28" w:name="_Toc217848866"/>
      <w:r w:rsidRPr="00447C9F">
        <w:rPr>
          <w:rFonts w:ascii="Arial" w:hAnsi="Arial" w:cs="Arial"/>
          <w:color w:val="auto"/>
          <w:sz w:val="21"/>
          <w:szCs w:val="21"/>
          <w:lang w:val="pl-PL"/>
        </w:rPr>
        <w:t>6.1. Pomiary elektryczne (minimum)</w:t>
      </w:r>
      <w:bookmarkEnd w:id="28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Sprawdzenie ciągłości przewodów ochronnych i połączeń wyrównawczych.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</w:rPr>
      </w:pPr>
      <w:proofErr w:type="spellStart"/>
      <w:r w:rsidRPr="00447C9F">
        <w:rPr>
          <w:rFonts w:ascii="Arial" w:hAnsi="Arial" w:cs="Arial"/>
          <w:sz w:val="21"/>
          <w:szCs w:val="21"/>
        </w:rPr>
        <w:t>Pomiar</w:t>
      </w:r>
      <w:proofErr w:type="spellEnd"/>
      <w:r w:rsidRPr="00447C9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47C9F">
        <w:rPr>
          <w:rFonts w:ascii="Arial" w:hAnsi="Arial" w:cs="Arial"/>
          <w:sz w:val="21"/>
          <w:szCs w:val="21"/>
        </w:rPr>
        <w:t>rezystancji</w:t>
      </w:r>
      <w:proofErr w:type="spellEnd"/>
      <w:r w:rsidRPr="00447C9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47C9F">
        <w:rPr>
          <w:rFonts w:ascii="Arial" w:hAnsi="Arial" w:cs="Arial"/>
          <w:sz w:val="21"/>
          <w:szCs w:val="21"/>
        </w:rPr>
        <w:t>izolacji</w:t>
      </w:r>
      <w:proofErr w:type="spellEnd"/>
      <w:r w:rsidRPr="00447C9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47C9F">
        <w:rPr>
          <w:rFonts w:ascii="Arial" w:hAnsi="Arial" w:cs="Arial"/>
          <w:sz w:val="21"/>
          <w:szCs w:val="21"/>
        </w:rPr>
        <w:t>obwodów</w:t>
      </w:r>
      <w:proofErr w:type="spellEnd"/>
      <w:r w:rsidRPr="00447C9F">
        <w:rPr>
          <w:rFonts w:ascii="Arial" w:hAnsi="Arial" w:cs="Arial"/>
          <w:sz w:val="21"/>
          <w:szCs w:val="21"/>
        </w:rPr>
        <w:t>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Pomiar impedancji pętli zwarcia i weryfikacja samoczynnego wyłączenia zasilania.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Test działania RCD (prąd i czas zadziałania).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Sprawdzenie polaryzacji gniazd, oznaczeń obwodów oraz poprawności zabezpieczeń.</w:t>
      </w:r>
    </w:p>
    <w:p w:rsidR="00792DB2" w:rsidRDefault="00792DB2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29" w:name="_Toc217848867"/>
    </w:p>
    <w:p w:rsidR="00CF3203" w:rsidRPr="00792DB2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792DB2">
        <w:rPr>
          <w:rFonts w:ascii="Arial" w:hAnsi="Arial" w:cs="Arial"/>
          <w:color w:val="auto"/>
          <w:sz w:val="21"/>
          <w:szCs w:val="21"/>
          <w:lang w:val="pl-PL"/>
        </w:rPr>
        <w:t>6.2. Pomiary i testy teleinformatyczne / światłowodowe</w:t>
      </w:r>
      <w:bookmarkEnd w:id="29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Pomiary torów światłowodowych (tłumienność/OTDR) wraz z protokołami i jednoznaczną identyfikacją torów.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Testy łączy Ethernet oraz weryfikacja zestawienia połączeń (link).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Testy funkcjonalne: wywołania zbiorcze na 3 monitory, podgląd wszystkich paneli, sterowanie dwiema bramami.</w:t>
      </w:r>
    </w:p>
    <w:p w:rsidR="00792DB2" w:rsidRDefault="00792DB2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bookmarkStart w:id="30" w:name="_Toc217848868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</w:rPr>
      </w:pPr>
      <w:r w:rsidRPr="00447C9F">
        <w:rPr>
          <w:rFonts w:ascii="Arial" w:hAnsi="Arial" w:cs="Arial"/>
          <w:color w:val="auto"/>
          <w:sz w:val="21"/>
          <w:szCs w:val="21"/>
        </w:rPr>
        <w:t>6.3. Odbiór funkcjonalny wideodomofonu (kryteria)</w:t>
      </w:r>
      <w:bookmarkEnd w:id="30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Wywołanie z każdego panelu zewnętrznego powoduje sygnalizację i wyświetlenie obrazu na wszystkich 3 monitorach.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Z każdego monitora możliwy jest podgląd wideo z każdego panelu (3 panele).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Sterowanie napędami dwóch bram działa z każdego monitora zgodnie z uzgodnioną logiką (otwarcie/zamknięcie/impuls) bez zakłócania obwodów bezpieczeństwa.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System działa stabilnie bez zaniku transmisji i z zachowaniem jakości obrazu.</w:t>
      </w:r>
    </w:p>
    <w:p w:rsidR="00792DB2" w:rsidRDefault="00792DB2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31" w:name="_Toc217848869"/>
    </w:p>
    <w:p w:rsidR="00792DB2" w:rsidRDefault="00792DB2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</w:p>
    <w:p w:rsidR="00CF3203" w:rsidRPr="00447C9F" w:rsidRDefault="00A6686B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7. Postanowienia dla przetargu publicznego i zasady odpowiedzialności</w:t>
      </w:r>
      <w:bookmarkEnd w:id="31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32" w:name="_Toc217848870"/>
      <w:r w:rsidRPr="00447C9F">
        <w:rPr>
          <w:rFonts w:ascii="Arial" w:hAnsi="Arial" w:cs="Arial"/>
          <w:color w:val="auto"/>
          <w:sz w:val="21"/>
          <w:szCs w:val="21"/>
          <w:lang w:val="pl-PL"/>
        </w:rPr>
        <w:t>7.1. Równoważność rozwiązań</w:t>
      </w:r>
      <w:bookmarkEnd w:id="32"/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Dopuszcza się zastosowanie urządzeń i materiałów równoważnych. Równoważność oznacza spełnienie co najmniej parametrów minimalnych i funkcjonalności opisanych w dokumentacji. Wykonawca przedstawi karty katalogowe i deklaracje zgodności.</w:t>
      </w:r>
    </w:p>
    <w:p w:rsidR="00792DB2" w:rsidRDefault="00792DB2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33" w:name="_Toc217848871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7.2. Obowiązki Wykonawcy przed rozpoczęciem robót</w:t>
      </w:r>
      <w:bookmarkEnd w:id="33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Wykonać wizję lokalną i inwentaryzację tras oraz zasobów w GPD/RG (wolne porty, miejsce w szafach, rezerwy mocy i zabezpieczeń).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Sprawdzić warunki zasilania przy bramach (możliwość poboru 230 V z napędów, miejsce na montaż osprzętu, możliwości prowadzenia przewodów sterowniczych).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lastRenderedPageBreak/>
        <w:t>Uzgodnić z użytkownikiem obiektu harmonogram robót, sposób zabezpieczenia terenu oraz ewentualne wyłączenia.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Uzgodnić z administratorem sieci IT sposób włączenia urządzeń do LAN (VLAN/adresacja/bezpieczeństwo).</w:t>
      </w:r>
    </w:p>
    <w:p w:rsidR="00792DB2" w:rsidRDefault="00792DB2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34" w:name="_Toc217848872"/>
    </w:p>
    <w:p w:rsidR="00CF3203" w:rsidRPr="00447C9F" w:rsidRDefault="00A6686B" w:rsidP="00447C9F">
      <w:pPr>
        <w:pStyle w:val="Nagwek2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7.3. Zastrzeżenia i ograniczenia odpowiedzialności Projektanta</w:t>
      </w:r>
      <w:bookmarkEnd w:id="34"/>
    </w:p>
    <w:p w:rsidR="00CF3203" w:rsidRPr="00447C9F" w:rsidRDefault="00A6686B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Projekt opracowano na podstawie informacji przekazanych przez Zamawiającego oraz ustaleń roboczych. W obiekcie istniejącym mogą wystąpić niezinwentaryzowane instalacje, ograniczenia montażowe lub odmienne rozwiązania wykonawcze. Wszelkie odstępstwa od rozwiązań projektowych, w tym zmiany tras, sposobu włączenia do istniejących rozdzielnic, doboru zabezpieczeń, rozwiązań w punktach bramowych oraz integracji z napędami bram, wymagają uzgodnienia z Zamawiającym i Projektantem. Wykonawca ponosi odpowiedzialność za dobór technologii robót, zapewnienie bezpieczeństwa oraz zgodność z przepisami i normami.</w:t>
      </w:r>
    </w:p>
    <w:p w:rsidR="00792DB2" w:rsidRDefault="00792DB2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bookmarkStart w:id="35" w:name="_Toc217848873"/>
    </w:p>
    <w:p w:rsidR="00CF3203" w:rsidRPr="00447C9F" w:rsidRDefault="00A6686B" w:rsidP="00447C9F">
      <w:pPr>
        <w:pStyle w:val="Nagwek1"/>
        <w:spacing w:before="0" w:line="240" w:lineRule="auto"/>
        <w:rPr>
          <w:rFonts w:ascii="Arial" w:hAnsi="Arial" w:cs="Arial"/>
          <w:color w:val="auto"/>
          <w:sz w:val="21"/>
          <w:szCs w:val="21"/>
          <w:lang w:val="pl-PL"/>
        </w:rPr>
      </w:pPr>
      <w:r w:rsidRPr="00447C9F">
        <w:rPr>
          <w:rFonts w:ascii="Arial" w:hAnsi="Arial" w:cs="Arial"/>
          <w:color w:val="auto"/>
          <w:sz w:val="21"/>
          <w:szCs w:val="21"/>
          <w:lang w:val="pl-PL"/>
        </w:rPr>
        <w:t>8. Normy, przepisy i standardy – wykaz podstawowy (stosować aktualne wydania)</w:t>
      </w:r>
      <w:bookmarkEnd w:id="35"/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PN-HD 60364 (seria) – Instalacje elektryczne niskiego napięcia.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PN-EN 50173 (seria) – Technika informatyczna – Systemy okablowania strukturalnego.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PN-EN 50174 (seria) – Technika informatyczna – Instalacja okablowania (wewnątrz i na zewnątrz budynków).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PN-EN 50346 / PN-EN 61935 (stosownie) – Badania zainstalowanego okablowania.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PN-EN 62305 (seria) – Ochrona odgromowa (jeżeli dotyczy).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PN-EN 61643 (seria) – Ograniczniki przepięć (dobór i wymagania).</w:t>
      </w:r>
    </w:p>
    <w:p w:rsidR="00CF3203" w:rsidRPr="00447C9F" w:rsidRDefault="00A6686B" w:rsidP="00447C9F">
      <w:pPr>
        <w:pStyle w:val="Listapunktowana"/>
        <w:spacing w:after="0" w:line="240" w:lineRule="auto"/>
        <w:rPr>
          <w:rFonts w:ascii="Arial" w:hAnsi="Arial" w:cs="Arial"/>
          <w:sz w:val="21"/>
          <w:szCs w:val="21"/>
          <w:lang w:val="pl-PL"/>
        </w:rPr>
      </w:pPr>
      <w:r w:rsidRPr="00447C9F">
        <w:rPr>
          <w:rFonts w:ascii="Arial" w:hAnsi="Arial" w:cs="Arial"/>
          <w:sz w:val="21"/>
          <w:szCs w:val="21"/>
          <w:lang w:val="pl-PL"/>
        </w:rPr>
        <w:t>Przepisy krajowe dot. BHP, ppoż., robót ziemnych oraz organizacji robót na terenie czynnego obiektu.</w:t>
      </w:r>
    </w:p>
    <w:p w:rsidR="00CF3203" w:rsidRPr="00447C9F" w:rsidRDefault="00CF3203" w:rsidP="00447C9F">
      <w:pPr>
        <w:spacing w:after="0" w:line="240" w:lineRule="auto"/>
        <w:rPr>
          <w:rFonts w:ascii="Arial" w:hAnsi="Arial" w:cs="Arial"/>
          <w:sz w:val="21"/>
          <w:szCs w:val="21"/>
          <w:lang w:val="pl-PL"/>
        </w:rPr>
      </w:pPr>
    </w:p>
    <w:sectPr w:rsidR="00CF3203" w:rsidRPr="00447C9F" w:rsidSect="00447C9F">
      <w:headerReference w:type="default" r:id="rId9"/>
      <w:pgSz w:w="12240" w:h="15840"/>
      <w:pgMar w:top="1134" w:right="1134" w:bottom="1134" w:left="1417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5E2" w:rsidRDefault="00A725E2" w:rsidP="00447C9F">
      <w:pPr>
        <w:spacing w:after="0" w:line="240" w:lineRule="auto"/>
      </w:pPr>
      <w:r>
        <w:separator/>
      </w:r>
    </w:p>
  </w:endnote>
  <w:endnote w:type="continuationSeparator" w:id="0">
    <w:p w:rsidR="00A725E2" w:rsidRDefault="00A725E2" w:rsidP="00447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5E2" w:rsidRDefault="00A725E2" w:rsidP="00447C9F">
      <w:pPr>
        <w:spacing w:after="0" w:line="240" w:lineRule="auto"/>
      </w:pPr>
      <w:r>
        <w:separator/>
      </w:r>
    </w:p>
  </w:footnote>
  <w:footnote w:type="continuationSeparator" w:id="0">
    <w:p w:rsidR="00A725E2" w:rsidRDefault="00A725E2" w:rsidP="00447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6223811"/>
      <w:docPartObj>
        <w:docPartGallery w:val="Page Numbers (Top of Page)"/>
        <w:docPartUnique/>
      </w:docPartObj>
    </w:sdtPr>
    <w:sdtContent>
      <w:p w:rsidR="00000000" w:rsidRDefault="00447C9F" w:rsidP="00447C9F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DB2" w:rsidRPr="00792DB2">
          <w:rPr>
            <w:noProof/>
            <w:lang w:val="pl-PL"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C210D"/>
    <w:rsid w:val="0029639D"/>
    <w:rsid w:val="00326F90"/>
    <w:rsid w:val="00447C9F"/>
    <w:rsid w:val="00792DB2"/>
    <w:rsid w:val="00A6686B"/>
    <w:rsid w:val="00A725E2"/>
    <w:rsid w:val="00AA1D8D"/>
    <w:rsid w:val="00B47730"/>
    <w:rsid w:val="00C95209"/>
    <w:rsid w:val="00CB0664"/>
    <w:rsid w:val="00CF3203"/>
    <w:rsid w:val="00DE765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pistreci2">
    <w:name w:val="toc 2"/>
    <w:basedOn w:val="Normalny"/>
    <w:next w:val="Normalny"/>
    <w:autoRedefine/>
    <w:uiPriority w:val="39"/>
    <w:unhideWhenUsed/>
    <w:qFormat/>
    <w:rsid w:val="001C210D"/>
    <w:pPr>
      <w:spacing w:after="100"/>
      <w:ind w:left="220"/>
    </w:pPr>
    <w:rPr>
      <w:rFonts w:asciiTheme="minorHAnsi" w:eastAsiaTheme="minorEastAsia" w:hAnsiTheme="minorHAnsi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C210D"/>
    <w:pPr>
      <w:spacing w:after="100"/>
    </w:pPr>
    <w:rPr>
      <w:rFonts w:asciiTheme="minorHAnsi" w:eastAsiaTheme="minorEastAsia" w:hAnsiTheme="minorHAnsi"/>
      <w:lang w:val="pl-PL"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C210D"/>
    <w:pPr>
      <w:spacing w:after="100"/>
      <w:ind w:left="440"/>
    </w:pPr>
    <w:rPr>
      <w:rFonts w:asciiTheme="minorHAnsi" w:eastAsiaTheme="minorEastAsia" w:hAnsiTheme="minorHAnsi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10D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C21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pistreci2">
    <w:name w:val="toc 2"/>
    <w:basedOn w:val="Normalny"/>
    <w:next w:val="Normalny"/>
    <w:autoRedefine/>
    <w:uiPriority w:val="39"/>
    <w:unhideWhenUsed/>
    <w:qFormat/>
    <w:rsid w:val="001C210D"/>
    <w:pPr>
      <w:spacing w:after="100"/>
      <w:ind w:left="220"/>
    </w:pPr>
    <w:rPr>
      <w:rFonts w:asciiTheme="minorHAnsi" w:eastAsiaTheme="minorEastAsia" w:hAnsiTheme="minorHAnsi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C210D"/>
    <w:pPr>
      <w:spacing w:after="100"/>
    </w:pPr>
    <w:rPr>
      <w:rFonts w:asciiTheme="minorHAnsi" w:eastAsiaTheme="minorEastAsia" w:hAnsiTheme="minorHAnsi"/>
      <w:lang w:val="pl-PL"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C210D"/>
    <w:pPr>
      <w:spacing w:after="100"/>
      <w:ind w:left="440"/>
    </w:pPr>
    <w:rPr>
      <w:rFonts w:asciiTheme="minorHAnsi" w:eastAsiaTheme="minorEastAsia" w:hAnsiTheme="minorHAnsi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10D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C21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F3D2FF-180B-4DBB-9662-0C77EF24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2809</Words>
  <Characters>16860</Characters>
  <Application>Microsoft Office Word</Application>
  <DocSecurity>0</DocSecurity>
  <Lines>140</Lines>
  <Paragraphs>39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19630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Kowalski Ryszard</cp:lastModifiedBy>
  <cp:revision>3</cp:revision>
  <dcterms:created xsi:type="dcterms:W3CDTF">2025-12-29T04:37:00Z</dcterms:created>
  <dcterms:modified xsi:type="dcterms:W3CDTF">2025-12-29T04:48:00Z</dcterms:modified>
</cp:coreProperties>
</file>